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eastAsia="黑体"/>
          <w:sz w:val="32"/>
          <w:szCs w:val="32"/>
        </w:rPr>
      </w:pPr>
      <w:r>
        <w:rPr>
          <w:rFonts w:eastAsia="黑体"/>
          <w:sz w:val="32"/>
          <w:szCs w:val="32"/>
        </w:rPr>
        <w:t>附件</w:t>
      </w:r>
      <w:r>
        <w:rPr>
          <w:rFonts w:hint="eastAsia" w:eastAsia="黑体"/>
          <w:sz w:val="32"/>
          <w:szCs w:val="32"/>
        </w:rPr>
        <w:t>3</w:t>
      </w:r>
    </w:p>
    <w:p>
      <w:pPr>
        <w:widowControl/>
        <w:jc w:val="center"/>
        <w:rPr>
          <w:rFonts w:eastAsia="方正小标宋简体"/>
          <w:b/>
          <w:sz w:val="44"/>
          <w:szCs w:val="44"/>
        </w:rPr>
      </w:pPr>
      <w:bookmarkStart w:id="0" w:name="_GoBack"/>
      <w:r>
        <w:rPr>
          <w:rFonts w:eastAsia="方正小标宋简体"/>
          <w:sz w:val="44"/>
          <w:szCs w:val="44"/>
        </w:rPr>
        <w:t>中华人民共和国教育法（摘录）</w:t>
      </w:r>
    </w:p>
    <w:bookmarkEnd w:id="0"/>
    <w:p>
      <w:pPr>
        <w:pStyle w:val="2"/>
      </w:pP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（一）非法获取考试试题或者答案的；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（二）携带或者使用考试作弊器材、资料的；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（三）抄袭他人答案的；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（四）让他人代替自己参加考试的；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（五）其他以不正当手段获得考试成绩的作弊行为。</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（一）组织作弊的；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（二）通过提供考试作弊器材等方式为作弊提供帮助或者便利的；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（三）代替他人参加考试的；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（四）在考试结束前泄露、传播考试试题或者答案的；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（五）其他扰乱考试秩序的行为。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WRiMDBjMDQ4ZjliYjcxYjNjYWMyNzUzOWRhZjUifQ=="/>
  </w:docVars>
  <w:rsids>
    <w:rsidRoot w:val="2FB76115"/>
    <w:rsid w:val="2FB7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2022-11-30T06:01:00Z</dcterms:created>
  <dc:creator>懂</dc:creator>
  <cp:lastModifiedBy>懂</cp:lastModifiedBy>
  <dcterms:modified xsi:type="dcterms:W3CDTF">2022-11-30T06:01:56Z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3B38AC73C972402FA033C796709204C7</vt:lpwstr>
  </property>
</Properties>
</file>